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747BF">
      <w:pPr>
        <w:keepNext w:val="0"/>
        <w:keepLines w:val="0"/>
        <w:pageBreakBefore w:val="0"/>
        <w:tabs>
          <w:tab w:val="left" w:pos="7665"/>
        </w:tabs>
        <w:kinsoku/>
        <w:wordWrap/>
        <w:overflowPunct/>
        <w:topLinePunct w:val="0"/>
        <w:bidi w:val="0"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特产生鲜采购项目竞争性谈判邀请公告</w:t>
      </w:r>
    </w:p>
    <w:p w14:paraId="5D22E770">
      <w:pPr>
        <w:keepNext w:val="0"/>
        <w:keepLines w:val="0"/>
        <w:pageBreakBefore w:val="0"/>
        <w:tabs>
          <w:tab w:val="left" w:pos="7665"/>
        </w:tabs>
        <w:kinsoku/>
        <w:wordWrap/>
        <w:overflowPunct/>
        <w:topLinePunct w:val="0"/>
        <w:bidi w:val="0"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u w:val="single"/>
          <w:lang w:eastAsia="zh-CN"/>
        </w:rPr>
      </w:pPr>
    </w:p>
    <w:p w14:paraId="765D4A4B">
      <w:pPr>
        <w:keepNext w:val="0"/>
        <w:keepLines w:val="0"/>
        <w:pageBreakBefore w:val="0"/>
        <w:tabs>
          <w:tab w:val="left" w:pos="7665"/>
        </w:tabs>
        <w:kinsoku/>
        <w:wordWrap/>
        <w:overflowPunct/>
        <w:topLinePunct w:val="0"/>
        <w:bidi w:val="0"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eastAsia="zh-CN"/>
        </w:rPr>
        <w:t>四川省隆威安保服务有限责任公司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对“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eastAsia="zh-CN"/>
        </w:rPr>
        <w:t>特产生鲜采购项目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”采取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>竞争性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eastAsia="zh-CN"/>
        </w:rPr>
        <w:t>谈判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方式实施采购，欢迎符合相应要求的供应商参加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谈判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，具体事项如下：</w:t>
      </w:r>
    </w:p>
    <w:p w14:paraId="4A57F9D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、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项目名称：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特产生鲜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采购项目</w:t>
      </w:r>
    </w:p>
    <w:p w14:paraId="6B605056"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482"/>
        <w:textAlignment w:val="auto"/>
        <w:rPr>
          <w:rFonts w:hint="eastAsia" w:ascii="宋体" w:hAnsi="宋体" w:eastAsia="宋体" w:cs="宋体"/>
          <w:b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b/>
          <w:color w:val="auto"/>
          <w:sz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、采购</w:t>
      </w:r>
      <w:r>
        <w:rPr>
          <w:rFonts w:hint="eastAsia" w:ascii="宋体" w:hAnsi="宋体" w:cs="宋体"/>
          <w:b/>
          <w:color w:val="auto"/>
          <w:sz w:val="24"/>
          <w:highlight w:val="none"/>
          <w:lang w:val="en-US" w:eastAsia="zh-CN"/>
        </w:rPr>
        <w:t>预算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：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  <w:lang w:val="en-US" w:eastAsia="zh-CN"/>
        </w:rPr>
        <w:t>单价不得超过最高限价</w:t>
      </w:r>
    </w:p>
    <w:p w14:paraId="7FF829BD"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482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、项目简介：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本次竞争性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谈判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拟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选聘一家供应商负责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特产生鲜采购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，有关具体采购内容及相关要求详见竞争性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谈判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文件“采购项目技术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、商务及其他要求”。</w:t>
      </w:r>
    </w:p>
    <w:p w14:paraId="32CA8C6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right="48" w:rightChars="15"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、供应商参加本次采购活动应具备下列条件：</w:t>
      </w:r>
    </w:p>
    <w:p w14:paraId="4B53879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00" w:lineRule="exact"/>
        <w:ind w:left="0" w:firstLine="420" w:firstLineChars="0"/>
        <w:textAlignment w:val="auto"/>
        <w:rPr>
          <w:rFonts w:hint="eastAsia" w:ascii="宋体" w:hAnsi="宋体" w:eastAsia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 xml:space="preserve">具有独立承担民事责任的能力； </w:t>
      </w:r>
    </w:p>
    <w:p w14:paraId="187C5F1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00" w:lineRule="exact"/>
        <w:ind w:left="0" w:firstLine="420" w:firstLineChars="0"/>
        <w:textAlignment w:val="auto"/>
        <w:rPr>
          <w:rFonts w:hint="eastAsia" w:ascii="宋体" w:hAnsi="宋体" w:eastAsia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具有良好的商业信誉和健全的财务会计制度；</w:t>
      </w:r>
    </w:p>
    <w:p w14:paraId="64EA2D9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00" w:lineRule="exact"/>
        <w:ind w:left="0" w:firstLine="420" w:firstLineChars="0"/>
        <w:textAlignment w:val="auto"/>
        <w:rPr>
          <w:rFonts w:hint="eastAsia" w:ascii="宋体" w:hAnsi="宋体" w:eastAsia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具有履行合同所必需的设备和专业技术能力；</w:t>
      </w:r>
    </w:p>
    <w:p w14:paraId="76ABD80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00" w:lineRule="exact"/>
        <w:ind w:left="0" w:firstLine="420" w:firstLineChars="0"/>
        <w:textAlignment w:val="auto"/>
        <w:rPr>
          <w:rFonts w:hint="eastAsia" w:ascii="宋体" w:hAnsi="宋体" w:eastAsia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有依法缴纳税收和社会保障资金的良好记录；</w:t>
      </w:r>
    </w:p>
    <w:p w14:paraId="569D955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00" w:lineRule="exact"/>
        <w:ind w:left="0" w:firstLine="420" w:firstLineChars="0"/>
        <w:textAlignment w:val="auto"/>
        <w:rPr>
          <w:rFonts w:hint="eastAsia" w:ascii="宋体" w:hAnsi="宋体" w:eastAsia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参加本次采购活动前三年内，在经营活动中没有重大违法违规记录；</w:t>
      </w:r>
    </w:p>
    <w:p w14:paraId="417FE85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00" w:lineRule="exact"/>
        <w:ind w:left="0" w:firstLine="420" w:firstLineChars="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法律、行政法规规定的其他条件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具有有效的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《食品经营许可证》或《食品经营许可备案电子证书》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；</w:t>
      </w:r>
    </w:p>
    <w:p w14:paraId="78B5355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00" w:lineRule="exact"/>
        <w:ind w:left="0" w:firstLine="420" w:firstLineChars="0"/>
        <w:textAlignment w:val="auto"/>
        <w:rPr>
          <w:rFonts w:hint="eastAsia" w:ascii="宋体" w:hAnsi="宋体" w:eastAsia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根据采购项目提出的特殊条件：</w:t>
      </w:r>
    </w:p>
    <w:p w14:paraId="2BA5DD7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1.供应商及其现任法定代表人不得具有行贿行为记录；</w:t>
      </w:r>
    </w:p>
    <w:p w14:paraId="0077F11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2.供应商截至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  <w:t>谈判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截止日未被列入失信被执行人、重大税收违法案件当事人名单、采购严重违法失信行为记录名单；</w:t>
      </w:r>
    </w:p>
    <w:p w14:paraId="3CC9266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00" w:lineRule="exact"/>
        <w:ind w:left="0" w:firstLine="420" w:firstLineChars="0"/>
        <w:textAlignment w:val="auto"/>
        <w:rPr>
          <w:rFonts w:hint="eastAsia" w:ascii="宋体" w:hAnsi="宋体" w:eastAsia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本项目不接受联合体。</w:t>
      </w:r>
    </w:p>
    <w:p w14:paraId="2AA6E47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、获取竞争性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  <w:lang w:eastAsia="zh-CN"/>
        </w:rPr>
        <w:t>谈判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文件的时间、地点、方式及竞争性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  <w:lang w:eastAsia="zh-CN"/>
        </w:rPr>
        <w:t>谈判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文件售价：</w:t>
      </w:r>
    </w:p>
    <w:p w14:paraId="22E68E6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241" w:firstLineChars="1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（一）获取竞争性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eastAsia="zh-CN"/>
        </w:rPr>
        <w:t>谈判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文件的时间：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202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日至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20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13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日上午09:00-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: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0，下午1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:00-17:00（北京时间，法定节假日除外）。</w:t>
      </w:r>
    </w:p>
    <w:p w14:paraId="5C9F385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241" w:firstLineChars="1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（二）获取竞争性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eastAsia="zh-CN"/>
        </w:rPr>
        <w:t>谈判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文件的地点：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（四川省隆威安保服务有限责任公司）四川省绵阳市涪城区临园路中段99号中大财富广场17楼获取。</w:t>
      </w:r>
    </w:p>
    <w:p w14:paraId="2BCE8A4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241" w:firstLineChars="1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（三）获取竞争性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eastAsia="zh-CN"/>
        </w:rPr>
        <w:t>谈判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文件的方式：</w:t>
      </w:r>
      <w:bookmarkStart w:id="0" w:name="OLE_LINK64"/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/>
        </w:rPr>
        <w:t>请携带U盘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现场拷取。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获取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谈判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文件时须提供以下资料：</w:t>
      </w:r>
    </w:p>
    <w:p w14:paraId="2CEF5C6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right="48" w:rightChars="15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1）经办人有效身份证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原件（核验）、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复印件（加盖单位鲜章）；</w:t>
      </w:r>
    </w:p>
    <w:p w14:paraId="370703F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right="48" w:rightChars="15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2）单位介绍信（加盖单位鲜章）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；</w:t>
      </w:r>
    </w:p>
    <w:p w14:paraId="5A8E193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right="48" w:rightChars="15"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3）参与竞争性谈判确认函、报名登记表（</w:t>
      </w:r>
      <w:bookmarkStart w:id="4" w:name="_GoBack"/>
      <w:bookmarkEnd w:id="4"/>
      <w:r>
        <w:rPr>
          <w:rFonts w:hint="eastAsia" w:ascii="宋体" w:hAnsi="宋体" w:eastAsia="宋体" w:cs="宋体"/>
          <w:color w:val="auto"/>
          <w:sz w:val="24"/>
          <w:highlight w:val="none"/>
        </w:rPr>
        <w:t>加盖单位鲜章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）。</w:t>
      </w:r>
    </w:p>
    <w:bookmarkEnd w:id="0"/>
    <w:p w14:paraId="0675C13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、响应文件递交截止时间：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u w:val="single"/>
          <w:lang w:eastAsia="zh-CN"/>
        </w:rPr>
        <w:t>202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u w:val="single"/>
          <w:lang w:eastAsia="zh-CN"/>
        </w:rPr>
        <w:t>年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u w:val="single"/>
          <w:lang w:val="en-US" w:eastAsia="zh-CN"/>
        </w:rPr>
        <w:t>01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u w:val="single"/>
        </w:rPr>
        <w:t>月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u w:val="single"/>
          <w:lang w:val="en-US" w:eastAsia="zh-CN"/>
        </w:rPr>
        <w:t>14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u w:val="single"/>
        </w:rPr>
        <w:t>日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u w:val="single"/>
        </w:rPr>
        <w:t>时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u w:val="single"/>
          <w:lang w:val="en-US" w:eastAsia="zh-CN"/>
        </w:rPr>
        <w:t>00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u w:val="single"/>
        </w:rPr>
        <w:t>分（北京时间）。</w:t>
      </w:r>
    </w:p>
    <w:p w14:paraId="64BD5F48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5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响应文件必须在响应文件递交截止时间前送达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谈判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地点。逾期送达的响应文件不予接收，响应文件递交截止时间已到且采购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人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已经进行签收，供应商均不能进行响应文件的补充、修改或者撤回。本次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谈判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不接受邮寄的响应文件。</w:t>
      </w:r>
    </w:p>
    <w:p w14:paraId="418C6E9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  <w:lang w:val="en-US" w:eastAsia="zh-CN"/>
        </w:rPr>
        <w:t>七、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响应文件递交地点及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  <w:lang w:eastAsia="zh-CN"/>
        </w:rPr>
        <w:t>谈判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地点：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（四川省隆威安保服务有限责任公司）四川省绵阳市涪城区临园路中段99号中大财富广场17楼。</w:t>
      </w:r>
    </w:p>
    <w:p w14:paraId="6747D6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afterLines="0" w:afterAutospacing="0" w:line="500" w:lineRule="exact"/>
        <w:ind w:firstLine="482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 w:bidi="ar-SA"/>
        </w:rPr>
        <w:t>八、谈判时间：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2025年01月14日10时00分（北京时间）。</w:t>
      </w:r>
    </w:p>
    <w:p w14:paraId="0206E9C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  <w:lang w:val="en-US" w:eastAsia="zh-CN"/>
        </w:rPr>
        <w:t>九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、本竞争性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  <w:lang w:eastAsia="zh-CN"/>
        </w:rPr>
        <w:t>谈判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邀请在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  <w:lang w:eastAsia="zh-CN"/>
        </w:rPr>
        <w:t>四川省隆威安保服务有限责任公司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  <w:lang w:val="en-US" w:eastAsia="zh-CN"/>
        </w:rPr>
        <w:t>官网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以公告形式发布。</w:t>
      </w:r>
    </w:p>
    <w:p w14:paraId="22227A2A"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482"/>
        <w:textAlignment w:val="auto"/>
        <w:rPr>
          <w:rFonts w:hint="eastAsia" w:ascii="宋体" w:hAnsi="宋体" w:eastAsia="宋体" w:cs="宋体"/>
          <w:b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十、联系方式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  <w:lang w:eastAsia="zh-CN"/>
        </w:rPr>
        <w:t>：</w:t>
      </w:r>
    </w:p>
    <w:p w14:paraId="3FA3460B"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482"/>
        <w:textAlignment w:val="auto"/>
        <w:rPr>
          <w:rFonts w:hint="eastAsia" w:ascii="宋体" w:hAnsi="宋体" w:eastAsia="宋体" w:cs="宋体"/>
          <w:b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采 购 人：</w:t>
      </w:r>
      <w:r>
        <w:rPr>
          <w:rFonts w:hint="eastAsia" w:ascii="宋体" w:hAnsi="宋体" w:cs="宋体"/>
          <w:b/>
          <w:color w:val="auto"/>
          <w:sz w:val="24"/>
          <w:highlight w:val="none"/>
          <w:lang w:eastAsia="zh-CN"/>
        </w:rPr>
        <w:t>四川省隆威安保服务有限责任公司</w:t>
      </w:r>
    </w:p>
    <w:p w14:paraId="760E7D2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联 系 人：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郑女士</w:t>
      </w:r>
    </w:p>
    <w:p w14:paraId="7FBF415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联系电话：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0816-2979150 （项目咨询）</w:t>
      </w:r>
    </w:p>
    <w:p w14:paraId="748D457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</w:p>
    <w:p w14:paraId="17F6071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附件：1、参与竞争性谈判确认函</w:t>
      </w:r>
    </w:p>
    <w:p w14:paraId="309A5C6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     2、报名登记表</w:t>
      </w:r>
    </w:p>
    <w:p w14:paraId="544F7044">
      <w:pPr>
        <w:pStyle w:val="2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</w:p>
    <w:p w14:paraId="330A5702">
      <w:pPr>
        <w:pStyle w:val="2"/>
        <w:rPr>
          <w:rFonts w:hint="default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 w14:paraId="48F73334">
      <w:pPr>
        <w:pStyle w:val="2"/>
        <w:rPr>
          <w:rFonts w:hint="default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 w14:paraId="16DFEBA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 w14:paraId="439BC60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sectPr>
          <w:footerReference r:id="rId5" w:type="default"/>
          <w:pgSz w:w="11906" w:h="16838"/>
          <w:pgMar w:top="1304" w:right="1587" w:bottom="1304" w:left="1701" w:header="680" w:footer="1077" w:gutter="0"/>
          <w:pgNumType w:fmt="decimal" w:start="1" w:chapStyle="1"/>
          <w:cols w:space="720" w:num="1"/>
          <w:docGrid w:type="lines" w:linePitch="312" w:charSpace="0"/>
        </w:sectPr>
      </w:pPr>
    </w:p>
    <w:p w14:paraId="05315DD7">
      <w:pPr>
        <w:keepNext/>
        <w:keepLines/>
        <w:widowControl w:val="0"/>
        <w:spacing w:before="260" w:after="260" w:line="416" w:lineRule="auto"/>
        <w:ind w:firstLine="0" w:firstLineChars="0"/>
        <w:jc w:val="both"/>
        <w:outlineLvl w:val="2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bookmarkStart w:id="1" w:name="_Toc183457270"/>
      <w:bookmarkStart w:id="2" w:name="_Toc62547791"/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附件1</w:t>
      </w:r>
      <w:bookmarkEnd w:id="1"/>
      <w:bookmarkEnd w:id="2"/>
    </w:p>
    <w:p w14:paraId="732CCEB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参与竞争性谈判确认函</w:t>
      </w:r>
    </w:p>
    <w:p w14:paraId="7309517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61C5E9A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致：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四川省隆威安保服务有限责任公司</w:t>
      </w:r>
    </w:p>
    <w:p w14:paraId="63EEAD1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我公司在此确认，将参加贵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公司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u w:val="single"/>
          <w:shd w:val="clear" w:color="auto" w:fill="FBFCFC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的竞争性谈判，并同意按照有关邀请竞争性谈判文件的要求按时提交相关材料。</w:t>
      </w:r>
    </w:p>
    <w:p w14:paraId="2299A75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此致！</w:t>
      </w:r>
    </w:p>
    <w:p w14:paraId="07F99AD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5FFBCC1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[签署栏]</w:t>
      </w:r>
    </w:p>
    <w:p w14:paraId="4DCCE02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  <w:sectPr>
          <w:headerReference r:id="rId7" w:type="first"/>
          <w:footerReference r:id="rId8" w:type="default"/>
          <w:headerReference r:id="rId6" w:type="even"/>
          <w:pgSz w:w="11907" w:h="16839"/>
          <w:pgMar w:top="1440" w:right="1800" w:bottom="1440" w:left="1800" w:header="851" w:footer="992" w:gutter="0"/>
          <w:pgNumType w:fmt="decimal"/>
          <w:cols w:space="720" w:num="1"/>
          <w:docGrid w:linePitch="312" w:charSpace="0"/>
        </w:sectPr>
      </w:pPr>
    </w:p>
    <w:p w14:paraId="6BDAE26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确认公司（公司名称及公章）：</w:t>
      </w:r>
    </w:p>
    <w:p w14:paraId="7DF6D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营业执照编号：</w:t>
      </w:r>
    </w:p>
    <w:p w14:paraId="3705A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住所地：</w:t>
      </w:r>
    </w:p>
    <w:p w14:paraId="36801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邮编：</w:t>
      </w:r>
    </w:p>
    <w:p w14:paraId="37AD64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联系人：</w:t>
      </w:r>
    </w:p>
    <w:p w14:paraId="0C898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</w:pPr>
    </w:p>
    <w:p w14:paraId="2680F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法定代表人或授权代理人（签字或盖章）：</w:t>
      </w:r>
    </w:p>
    <w:p w14:paraId="6B858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签字人职务：</w:t>
      </w:r>
    </w:p>
    <w:p w14:paraId="20BB3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签署日：</w:t>
      </w:r>
    </w:p>
    <w:p w14:paraId="51957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电话：</w:t>
      </w:r>
    </w:p>
    <w:p w14:paraId="140AD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传真：</w:t>
      </w:r>
    </w:p>
    <w:p w14:paraId="6A3AB1C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  <w:sectPr>
          <w:type w:val="continuous"/>
          <w:pgSz w:w="11907" w:h="16839"/>
          <w:pgMar w:top="1440" w:right="1134" w:bottom="1440" w:left="1800" w:header="851" w:footer="992" w:gutter="0"/>
          <w:pgNumType w:fmt="decimal"/>
          <w:cols w:space="185" w:num="2"/>
          <w:docGrid w:linePitch="312" w:charSpace="0"/>
        </w:sectPr>
      </w:pPr>
    </w:p>
    <w:p w14:paraId="4A5B01FA">
      <w:pPr>
        <w:keepNext/>
        <w:keepLines/>
        <w:widowControl w:val="0"/>
        <w:spacing w:before="260" w:after="260" w:line="416" w:lineRule="auto"/>
        <w:ind w:firstLine="0" w:firstLineChars="0"/>
        <w:jc w:val="both"/>
        <w:outlineLvl w:val="2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bookmarkStart w:id="3" w:name="_Toc183457272"/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附件2</w:t>
      </w:r>
      <w:bookmarkEnd w:id="3"/>
    </w:p>
    <w:p w14:paraId="046B6AB0">
      <w:pPr>
        <w:spacing w:line="360" w:lineRule="auto"/>
        <w:ind w:firstLine="0" w:firstLineChars="0"/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报名登记表</w:t>
      </w:r>
    </w:p>
    <w:tbl>
      <w:tblPr>
        <w:tblStyle w:val="12"/>
        <w:tblW w:w="10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3045"/>
        <w:gridCol w:w="1385"/>
        <w:gridCol w:w="3632"/>
      </w:tblGrid>
      <w:tr w14:paraId="6DC23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2098" w:type="dxa"/>
            <w:noWrap w:val="0"/>
            <w:vAlign w:val="center"/>
          </w:tcPr>
          <w:p w14:paraId="5944817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8062" w:type="dxa"/>
            <w:gridSpan w:val="3"/>
            <w:noWrap w:val="0"/>
            <w:vAlign w:val="center"/>
          </w:tcPr>
          <w:p w14:paraId="2EC46CA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4F6C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098" w:type="dxa"/>
            <w:noWrap w:val="0"/>
            <w:vAlign w:val="center"/>
          </w:tcPr>
          <w:p w14:paraId="3FB28B6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供应商名称</w:t>
            </w:r>
          </w:p>
        </w:tc>
        <w:tc>
          <w:tcPr>
            <w:tcW w:w="8062" w:type="dxa"/>
            <w:gridSpan w:val="3"/>
            <w:noWrap w:val="0"/>
            <w:vAlign w:val="center"/>
          </w:tcPr>
          <w:p w14:paraId="2E27E55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3B71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098" w:type="dxa"/>
            <w:noWrap w:val="0"/>
            <w:vAlign w:val="center"/>
          </w:tcPr>
          <w:p w14:paraId="547EEFB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报名时间</w:t>
            </w:r>
          </w:p>
        </w:tc>
        <w:tc>
          <w:tcPr>
            <w:tcW w:w="8062" w:type="dxa"/>
            <w:gridSpan w:val="3"/>
            <w:noWrap w:val="0"/>
            <w:vAlign w:val="center"/>
          </w:tcPr>
          <w:p w14:paraId="66F4AB6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1F74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098" w:type="dxa"/>
            <w:noWrap w:val="0"/>
            <w:vAlign w:val="center"/>
          </w:tcPr>
          <w:p w14:paraId="011A0DA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3045" w:type="dxa"/>
            <w:noWrap w:val="0"/>
            <w:vAlign w:val="center"/>
          </w:tcPr>
          <w:p w14:paraId="6419845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5" w:type="dxa"/>
            <w:noWrap w:val="0"/>
            <w:vAlign w:val="center"/>
          </w:tcPr>
          <w:p w14:paraId="7932FC4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632" w:type="dxa"/>
            <w:noWrap w:val="0"/>
            <w:vAlign w:val="center"/>
          </w:tcPr>
          <w:p w14:paraId="1925E04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1951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098" w:type="dxa"/>
            <w:noWrap w:val="0"/>
            <w:vAlign w:val="center"/>
          </w:tcPr>
          <w:p w14:paraId="39A2A15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3045" w:type="dxa"/>
            <w:noWrap w:val="0"/>
            <w:vAlign w:val="center"/>
          </w:tcPr>
          <w:p w14:paraId="08F6CA9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5" w:type="dxa"/>
            <w:noWrap w:val="0"/>
            <w:vAlign w:val="center"/>
          </w:tcPr>
          <w:p w14:paraId="7CAA91A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公司地址</w:t>
            </w:r>
          </w:p>
        </w:tc>
        <w:tc>
          <w:tcPr>
            <w:tcW w:w="3632" w:type="dxa"/>
            <w:noWrap w:val="0"/>
            <w:vAlign w:val="center"/>
          </w:tcPr>
          <w:p w14:paraId="1AD4C9B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0CD6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4" w:hRule="atLeast"/>
          <w:jc w:val="center"/>
        </w:trPr>
        <w:tc>
          <w:tcPr>
            <w:tcW w:w="10160" w:type="dxa"/>
            <w:gridSpan w:val="4"/>
            <w:noWrap w:val="0"/>
            <w:vAlign w:val="center"/>
          </w:tcPr>
          <w:p w14:paraId="41470AFB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供应商声明：</w:t>
            </w:r>
          </w:p>
          <w:p w14:paraId="35D95B5C">
            <w:pPr>
              <w:spacing w:line="240" w:lineRule="auto"/>
              <w:ind w:firstLine="560" w:firstLineChars="2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我单位已阅读并理解采购公告的全部内容，对本采购项目所有情况已了解，我单位符合采购公告所列的报名条件，现正式对该项目提出报名申请。</w:t>
            </w:r>
          </w:p>
          <w:p w14:paraId="3B52CA8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本单位郑重承诺授权代理人和拟派人员均为本单位人员，绝无挂靠、租借资质、弄虚作假等违法违规行为，并愿承担由此而产生的一切权利、义务以及法律责任。</w:t>
            </w:r>
          </w:p>
          <w:p w14:paraId="696880F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6197A4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授权代理人（签字）：</w:t>
            </w:r>
          </w:p>
          <w:p w14:paraId="2F48B8D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年    月    日</w:t>
            </w:r>
          </w:p>
        </w:tc>
      </w:tr>
    </w:tbl>
    <w:p w14:paraId="46ACC547">
      <w:pPr>
        <w:ind w:left="0" w:leftChars="0" w:firstLine="0" w:firstLineChars="0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sectPr>
      <w:footerReference r:id="rId9" w:type="default"/>
      <w:pgSz w:w="11906" w:h="16838"/>
      <w:pgMar w:top="1304" w:right="1474" w:bottom="1304" w:left="1701" w:header="851" w:footer="992" w:gutter="0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D090D8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C0C870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C0C870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1093F0">
    <w:pPr>
      <w:widowControl w:val="0"/>
      <w:snapToGrid w:val="0"/>
      <w:spacing w:line="240" w:lineRule="auto"/>
      <w:ind w:firstLine="0" w:firstLineChars="0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rFonts w:ascii="Times New Roman" w:hAnsi="Times New Roman" w:eastAsia="宋体" w:cs="Times New Roman"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0F5741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0F5741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3ED9B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4BB282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4BB282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7D052D">
    <w:pPr>
      <w:pStyle w:val="10"/>
      <w:rPr>
        <w:rFonts w:ascii="Times New Roman" w:hAnsi="Times New Roman" w:eastAsia="宋体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853F8">
    <w:pPr>
      <w:spacing w:line="240" w:lineRule="auto"/>
      <w:ind w:right="420" w:firstLine="0" w:firstLineChars="0"/>
      <w:jc w:val="right"/>
      <w:rPr>
        <w:rFonts w:hint="eastAsia" w:ascii="仿宋" w:hAnsi="仿宋" w:eastAsia="仿宋" w:cs="仿宋"/>
        <w:b/>
        <w:bCs/>
        <w:sz w:val="24"/>
      </w:rPr>
    </w:pPr>
  </w:p>
  <w:p w14:paraId="5B928D33">
    <w:pPr>
      <w:spacing w:line="240" w:lineRule="auto"/>
      <w:ind w:right="420" w:firstLine="0" w:firstLineChars="0"/>
      <w:jc w:val="right"/>
      <w:rPr>
        <w:rFonts w:ascii="Times New Roman" w:hAnsi="Times New Roman" w:eastAsia="宋体" w:cs="Times New Roman"/>
        <w:sz w:val="21"/>
      </w:rPr>
    </w:pPr>
    <w:r>
      <w:rPr>
        <w:rFonts w:ascii="Times New Roman" w:hAnsi="Times New Roman" w:eastAsia="宋体" w:cs="Times New Roman"/>
        <w:sz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-250825</wp:posOffset>
          </wp:positionV>
          <wp:extent cx="2016760" cy="565785"/>
          <wp:effectExtent l="0" t="0" r="2540" b="5715"/>
          <wp:wrapNone/>
          <wp:docPr id="2" name="图片 1" descr="说明: 浦发银行标志标准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说明: 浦发银行标志标准型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676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仿宋" w:hAnsi="仿宋" w:eastAsia="仿宋" w:cs="仿宋"/>
        <w:b/>
        <w:bCs/>
        <w:sz w:val="24"/>
      </w:rPr>
      <w:t>成都分行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DC9468"/>
    <w:multiLevelType w:val="singleLevel"/>
    <w:tmpl w:val="21DC9468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36778"/>
    <w:rsid w:val="006D5812"/>
    <w:rsid w:val="043A7135"/>
    <w:rsid w:val="04575F38"/>
    <w:rsid w:val="04A22F2C"/>
    <w:rsid w:val="05AA7D73"/>
    <w:rsid w:val="0822685D"/>
    <w:rsid w:val="08A32510"/>
    <w:rsid w:val="08CE330F"/>
    <w:rsid w:val="090A07BB"/>
    <w:rsid w:val="0DAF0B93"/>
    <w:rsid w:val="10FB4FD4"/>
    <w:rsid w:val="11A6405B"/>
    <w:rsid w:val="13C84772"/>
    <w:rsid w:val="1740460A"/>
    <w:rsid w:val="174C713D"/>
    <w:rsid w:val="1A113301"/>
    <w:rsid w:val="1BEA723A"/>
    <w:rsid w:val="1DAB745A"/>
    <w:rsid w:val="1FBA5176"/>
    <w:rsid w:val="21137F8F"/>
    <w:rsid w:val="21FE134A"/>
    <w:rsid w:val="22FD7853"/>
    <w:rsid w:val="23B1063E"/>
    <w:rsid w:val="23BE3486"/>
    <w:rsid w:val="25CD5C03"/>
    <w:rsid w:val="284B2E0F"/>
    <w:rsid w:val="2FC811E9"/>
    <w:rsid w:val="30825157"/>
    <w:rsid w:val="381B27FE"/>
    <w:rsid w:val="39A34DD0"/>
    <w:rsid w:val="3B7D30CD"/>
    <w:rsid w:val="3F7A2500"/>
    <w:rsid w:val="3F9B06C8"/>
    <w:rsid w:val="401F30A7"/>
    <w:rsid w:val="435D013F"/>
    <w:rsid w:val="4648442B"/>
    <w:rsid w:val="471825FE"/>
    <w:rsid w:val="4C2757BD"/>
    <w:rsid w:val="4C7B78B7"/>
    <w:rsid w:val="50A36778"/>
    <w:rsid w:val="51F83758"/>
    <w:rsid w:val="52286556"/>
    <w:rsid w:val="52662470"/>
    <w:rsid w:val="52E77A54"/>
    <w:rsid w:val="597114A7"/>
    <w:rsid w:val="5B3E042E"/>
    <w:rsid w:val="5D047455"/>
    <w:rsid w:val="6254243E"/>
    <w:rsid w:val="655F791E"/>
    <w:rsid w:val="682D5FE1"/>
    <w:rsid w:val="72C54B39"/>
    <w:rsid w:val="735F2141"/>
    <w:rsid w:val="74671085"/>
    <w:rsid w:val="74FC6BA6"/>
    <w:rsid w:val="7D4F1DA3"/>
    <w:rsid w:val="7E5A082B"/>
    <w:rsid w:val="7F47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0" w:lineRule="exact"/>
      <w:ind w:firstLine="628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widowControl w:val="0"/>
      <w:spacing w:before="100" w:beforeLines="0" w:beforeAutospacing="0" w:after="100" w:afterLines="0" w:afterAutospacing="0" w:line="570" w:lineRule="exact"/>
      <w:ind w:firstLine="640" w:firstLineChars="200"/>
      <w:outlineLvl w:val="0"/>
    </w:pPr>
    <w:rPr>
      <w:rFonts w:ascii="Tahoma" w:hAnsi="Tahoma" w:eastAsia="黑体"/>
      <w:kern w:val="44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widowControl w:val="0"/>
      <w:spacing w:before="20" w:beforeLines="0" w:beforeAutospacing="0" w:after="20" w:afterLines="0" w:afterAutospacing="0" w:line="570" w:lineRule="exact"/>
      <w:ind w:firstLine="640" w:firstLineChars="200"/>
      <w:outlineLvl w:val="1"/>
    </w:pPr>
    <w:rPr>
      <w:rFonts w:ascii="Arial" w:hAnsi="Arial" w:eastAsia="楷体"/>
      <w:b/>
      <w:sz w:val="32"/>
      <w:szCs w:val="22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260" w:after="260" w:line="570" w:lineRule="exact"/>
      <w:ind w:firstLine="0" w:firstLineChars="0"/>
      <w:jc w:val="center"/>
      <w:outlineLvl w:val="2"/>
    </w:pPr>
    <w:rPr>
      <w:rFonts w:ascii="楷体" w:hAnsi="楷体" w:eastAsia="楷体" w:cs="Times New Roman"/>
      <w:b/>
      <w:color w:val="auto"/>
      <w:szCs w:val="32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6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7">
    <w:name w:val="Body Text Indent"/>
    <w:next w:val="1"/>
    <w:qFormat/>
    <w:uiPriority w:val="0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8">
    <w:name w:val="Body Text Indent 2"/>
    <w:next w:val="1"/>
    <w:qFormat/>
    <w:uiPriority w:val="0"/>
    <w:pPr>
      <w:widowControl w:val="0"/>
      <w:spacing w:after="120" w:line="480" w:lineRule="auto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9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10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20"/>
      <w:lang w:val="en-US" w:eastAsia="zh-CN" w:bidi="ar-SA"/>
    </w:rPr>
  </w:style>
  <w:style w:type="paragraph" w:styleId="11">
    <w:name w:val="Normal (Web)"/>
    <w:basedOn w:val="1"/>
    <w:autoRedefine/>
    <w:qFormat/>
    <w:uiPriority w:val="0"/>
    <w:pPr>
      <w:spacing w:before="-2147483648" w:beforeAutospacing="1" w:afterAutospacing="1"/>
      <w:ind w:left="0" w:right="0" w:firstLine="552" w:firstLineChars="200"/>
      <w:jc w:val="left"/>
    </w:pPr>
    <w:rPr>
      <w:rFonts w:ascii="Calibri" w:hAnsi="Calibri" w:eastAsia="仿宋" w:cs="Times New Roman"/>
      <w:kern w:val="0"/>
      <w:sz w:val="24"/>
      <w:szCs w:val="22"/>
      <w:lang w:bidi="ar"/>
    </w:rPr>
  </w:style>
  <w:style w:type="table" w:styleId="1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正文首行缩进两字符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2629</Words>
  <Characters>2776</Characters>
  <Lines>0</Lines>
  <Paragraphs>0</Paragraphs>
  <TotalTime>0</TotalTime>
  <ScaleCrop>false</ScaleCrop>
  <LinksUpToDate>false</LinksUpToDate>
  <CharactersWithSpaces>2895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2025-01-08T01:52:00Z</dcterms:created>
  <dc:creator>Flo1383203217</dc:creator>
  <cp:lastModifiedBy>Flo1383203217</cp:lastModifiedBy>
  <dcterms:modified xsi:type="dcterms:W3CDTF">2025-01-09T02:08:32Z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C88BD78A6E164DE8A0CE2342502C3EF9_11</vt:lpwstr>
  </property>
  <property fmtid="{D5CDD505-2E9C-101B-9397-08002B2CF9AE}" pid="4" name="KSOTemplateDocerSaveRecord">
    <vt:lpwstr>eyJoZGlkIjoiOTJkNDM0NzM0ZGIwYWE2YzY5NzhlNDc4NDA0ZTFlMjkiLCJ1c2VySWQiOiI3MTM5NjcxIn0=</vt:lpwstr>
  </property>
</Properties>
</file>